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66" w:rsidRDefault="009E4B66" w:rsidP="00B132ED"/>
    <w:p w:rsidR="009E4B66" w:rsidRDefault="009E4B66" w:rsidP="00B132ED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1516"/>
        <w:gridCol w:w="1680"/>
        <w:gridCol w:w="1307"/>
        <w:gridCol w:w="1874"/>
      </w:tblGrid>
      <w:tr w:rsidR="00165BBF" w:rsidTr="00165BBF"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F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Business Consultants</w:t>
            </w:r>
          </w:p>
          <w:p w:rsidR="00165BBF" w:rsidRPr="0008605E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Outside Sales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F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Business Consultants</w:t>
            </w:r>
          </w:p>
          <w:p w:rsidR="00165BBF" w:rsidRPr="0008605E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Inside Sales Telephone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BF" w:rsidRPr="0008605E" w:rsidRDefault="00165BBF" w:rsidP="00165BBF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CD73F6">
              <w:rPr>
                <w:b/>
              </w:rPr>
              <w:t xml:space="preserve">n-The- Job </w:t>
            </w:r>
            <w:r w:rsidR="00D03F52">
              <w:rPr>
                <w:b/>
              </w:rPr>
              <w:t>Training (</w:t>
            </w:r>
            <w:r w:rsidR="00CD73F6">
              <w:rPr>
                <w:b/>
              </w:rPr>
              <w:t>O</w:t>
            </w:r>
            <w:r>
              <w:rPr>
                <w:b/>
              </w:rPr>
              <w:t>JT</w:t>
            </w:r>
            <w:r w:rsidR="00CD73F6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BBF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Special Projects</w:t>
            </w:r>
          </w:p>
          <w:p w:rsidR="00165BBF" w:rsidRPr="0008605E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 xml:space="preserve">UTMB &amp; Oil and Gas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BBF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Business Service Representatives</w:t>
            </w:r>
          </w:p>
          <w:p w:rsidR="00165BBF" w:rsidRPr="0008605E" w:rsidRDefault="00165BBF" w:rsidP="009F014D">
            <w:pPr>
              <w:jc w:val="center"/>
              <w:rPr>
                <w:b/>
              </w:rPr>
            </w:pPr>
            <w:r>
              <w:rPr>
                <w:b/>
              </w:rPr>
              <w:t>(TWC ES Staff)</w:t>
            </w:r>
          </w:p>
        </w:tc>
      </w:tr>
      <w:tr w:rsidR="00165BBF" w:rsidTr="00165BBF">
        <w:trPr>
          <w:trHeight w:val="377"/>
        </w:trPr>
        <w:tc>
          <w:tcPr>
            <w:tcW w:w="1462" w:type="dxa"/>
            <w:tcBorders>
              <w:top w:val="single" w:sz="4" w:space="0" w:color="auto"/>
            </w:tcBorders>
          </w:tcPr>
          <w:p w:rsidR="00165BBF" w:rsidRPr="006566F0" w:rsidRDefault="00165BBF" w:rsidP="006566F0">
            <w:pPr>
              <w:jc w:val="center"/>
            </w:pPr>
            <w:r w:rsidRPr="006566F0">
              <w:t>18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65BBF" w:rsidRPr="006566F0" w:rsidRDefault="00165BBF" w:rsidP="00165BBF">
            <w:pPr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165BBF" w:rsidRPr="00BF406D" w:rsidRDefault="00165BBF" w:rsidP="00165BBF">
            <w:pPr>
              <w:jc w:val="center"/>
            </w:pPr>
            <w:r>
              <w:t>12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165BBF" w:rsidRPr="0090646A" w:rsidRDefault="00165BBF" w:rsidP="006566F0">
            <w:pPr>
              <w:jc w:val="center"/>
            </w:pPr>
            <w:r>
              <w:t>7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165BBF" w:rsidRDefault="00165BBF" w:rsidP="00795630">
            <w:pPr>
              <w:jc w:val="center"/>
            </w:pPr>
            <w:r>
              <w:t>12</w:t>
            </w:r>
          </w:p>
        </w:tc>
      </w:tr>
    </w:tbl>
    <w:p w:rsidR="009E4B66" w:rsidRDefault="009E4B66" w:rsidP="00B132ED"/>
    <w:p w:rsidR="009E4B66" w:rsidRDefault="009E4B66" w:rsidP="00B132ED"/>
    <w:p w:rsidR="00F279CD" w:rsidRDefault="0090646A" w:rsidP="0090646A">
      <w:pPr>
        <w:numPr>
          <w:ilvl w:val="0"/>
          <w:numId w:val="1"/>
        </w:numPr>
      </w:pPr>
      <w:r>
        <w:t>Business Consultants</w:t>
      </w:r>
      <w:r w:rsidR="009E4B66">
        <w:t xml:space="preserve"> </w:t>
      </w:r>
      <w:r w:rsidR="00546DB8">
        <w:t xml:space="preserve">- </w:t>
      </w:r>
      <w:r w:rsidR="009E4B66">
        <w:t xml:space="preserve">Outside Sales staff </w:t>
      </w:r>
      <w:r w:rsidR="004C6101">
        <w:t xml:space="preserve">office in Gulf Coast career offices throughout the area.  They </w:t>
      </w:r>
      <w:r w:rsidR="00ED2406">
        <w:t xml:space="preserve">maintain and build relationships with new and existing customers by </w:t>
      </w:r>
      <w:r w:rsidR="00707242">
        <w:t xml:space="preserve">offering and organizing specialized hiring help, job </w:t>
      </w:r>
      <w:r w:rsidR="006C5FE2">
        <w:t>posting opportunities</w:t>
      </w:r>
      <w:r w:rsidR="00707242">
        <w:t xml:space="preserve"> in WorkInTexas</w:t>
      </w:r>
      <w:r w:rsidR="009E4B66">
        <w:t xml:space="preserve">, </w:t>
      </w:r>
      <w:r w:rsidR="00ED2406">
        <w:t xml:space="preserve">attending networking events, being involved with Chambers of Commerce, Economic Development Groups, </w:t>
      </w:r>
      <w:r w:rsidR="000414E6">
        <w:t>and Professional</w:t>
      </w:r>
      <w:r w:rsidR="00ED2406">
        <w:t xml:space="preserve"> </w:t>
      </w:r>
      <w:r w:rsidR="009E4B66">
        <w:t xml:space="preserve">and Industry </w:t>
      </w:r>
      <w:r w:rsidR="00ED2406">
        <w:t>Organizations</w:t>
      </w:r>
      <w:r w:rsidR="009E4B66" w:rsidRPr="006C5FE2">
        <w:t>.</w:t>
      </w:r>
      <w:r w:rsidR="00ED2406" w:rsidRPr="006C5FE2">
        <w:t xml:space="preserve">  </w:t>
      </w:r>
    </w:p>
    <w:p w:rsidR="00F279CD" w:rsidRDefault="00F279CD" w:rsidP="00F279CD"/>
    <w:p w:rsidR="0090646A" w:rsidRPr="006C5FE2" w:rsidRDefault="00ED2406" w:rsidP="00F279CD">
      <w:pPr>
        <w:ind w:left="360"/>
      </w:pPr>
      <w:r w:rsidRPr="006C5FE2">
        <w:t xml:space="preserve">They must successfully </w:t>
      </w:r>
      <w:r w:rsidR="00707242" w:rsidRPr="006C5FE2">
        <w:t xml:space="preserve">sell and </w:t>
      </w:r>
      <w:r w:rsidR="00402E12" w:rsidRPr="006C5FE2">
        <w:t xml:space="preserve">organize </w:t>
      </w:r>
      <w:r w:rsidR="00707242" w:rsidRPr="006C5FE2">
        <w:t>s</w:t>
      </w:r>
      <w:r w:rsidR="00402E12" w:rsidRPr="006C5FE2">
        <w:t xml:space="preserve">pecial events </w:t>
      </w:r>
      <w:r w:rsidR="00707242" w:rsidRPr="006C5FE2">
        <w:t xml:space="preserve">or services </w:t>
      </w:r>
      <w:r w:rsidR="00402E12" w:rsidRPr="006C5FE2">
        <w:t xml:space="preserve">to at least </w:t>
      </w:r>
      <w:r w:rsidR="00707242" w:rsidRPr="006C5FE2">
        <w:t>between two and four</w:t>
      </w:r>
      <w:r w:rsidRPr="006C5FE2">
        <w:t xml:space="preserve"> employers per month and deliver </w:t>
      </w:r>
      <w:r w:rsidR="00707242" w:rsidRPr="006C5FE2">
        <w:t xml:space="preserve">requested individual </w:t>
      </w:r>
      <w:r w:rsidRPr="006C5FE2">
        <w:t xml:space="preserve">Labor Market Information to </w:t>
      </w:r>
      <w:r w:rsidR="00707242" w:rsidRPr="006C5FE2">
        <w:t xml:space="preserve">between </w:t>
      </w:r>
      <w:r w:rsidRPr="006C5FE2">
        <w:t>15 – 25 employers per month.</w:t>
      </w:r>
    </w:p>
    <w:p w:rsidR="0090646A" w:rsidRDefault="0090646A" w:rsidP="0090646A"/>
    <w:p w:rsidR="0090646A" w:rsidRPr="00EA062A" w:rsidRDefault="0090646A" w:rsidP="0090646A">
      <w:pPr>
        <w:numPr>
          <w:ilvl w:val="0"/>
          <w:numId w:val="1"/>
        </w:numPr>
      </w:pPr>
      <w:r w:rsidRPr="00EA062A">
        <w:t xml:space="preserve">Business Consultants </w:t>
      </w:r>
      <w:r w:rsidR="00ED2406" w:rsidRPr="00EA062A">
        <w:t>in the central office work on the telephone to offer Workforce Solutions services to area employers.  They primarily offer to list open jobs in Work</w:t>
      </w:r>
      <w:r w:rsidR="004B789C" w:rsidRPr="00EA062A">
        <w:t xml:space="preserve">InTexas. </w:t>
      </w:r>
      <w:r w:rsidR="00ED2406" w:rsidRPr="00EA062A">
        <w:t xml:space="preserve"> They must </w:t>
      </w:r>
      <w:r w:rsidR="004B789C" w:rsidRPr="00EA062A">
        <w:t xml:space="preserve">successfully market a </w:t>
      </w:r>
      <w:r w:rsidR="00ED2406" w:rsidRPr="00EA062A">
        <w:t xml:space="preserve">service to at least 10 new </w:t>
      </w:r>
      <w:r w:rsidR="004B789C" w:rsidRPr="00EA062A">
        <w:t xml:space="preserve">employers </w:t>
      </w:r>
      <w:r w:rsidR="00ED2406" w:rsidRPr="00EA062A">
        <w:t xml:space="preserve">per day. </w:t>
      </w:r>
    </w:p>
    <w:p w:rsidR="0090646A" w:rsidRDefault="0090646A" w:rsidP="0090646A"/>
    <w:p w:rsidR="008E6770" w:rsidRDefault="0090646A" w:rsidP="0090646A">
      <w:pPr>
        <w:numPr>
          <w:ilvl w:val="0"/>
          <w:numId w:val="1"/>
        </w:numPr>
      </w:pPr>
      <w:r>
        <w:t xml:space="preserve">Business Consultants earn between </w:t>
      </w:r>
      <w:r w:rsidRPr="00795630">
        <w:t>$</w:t>
      </w:r>
      <w:r w:rsidR="00CF0710" w:rsidRPr="00795630">
        <w:t>47</w:t>
      </w:r>
      <w:r w:rsidRPr="00795630">
        <w:t>,</w:t>
      </w:r>
      <w:r w:rsidR="00392455" w:rsidRPr="00795630">
        <w:t>000 and $6</w:t>
      </w:r>
      <w:r w:rsidR="00CF0710" w:rsidRPr="00795630">
        <w:t>8</w:t>
      </w:r>
      <w:r w:rsidRPr="00795630">
        <w:t>,000 a year.</w:t>
      </w:r>
      <w:r>
        <w:t xml:space="preserve">  Fringe benefits cost an additional </w:t>
      </w:r>
      <w:r w:rsidR="00006C94">
        <w:t>36.12</w:t>
      </w:r>
      <w:r>
        <w:t>%</w:t>
      </w:r>
    </w:p>
    <w:p w:rsidR="00E74033" w:rsidRDefault="00E74033" w:rsidP="00E74033"/>
    <w:p w:rsidR="00165BBF" w:rsidRDefault="000414E6" w:rsidP="006E318F">
      <w:pPr>
        <w:numPr>
          <w:ilvl w:val="0"/>
          <w:numId w:val="1"/>
        </w:numPr>
      </w:pPr>
      <w:r>
        <w:t>Recruiters</w:t>
      </w:r>
      <w:r w:rsidR="0090646A">
        <w:t xml:space="preserve"> </w:t>
      </w:r>
      <w:r w:rsidR="0090646A" w:rsidRPr="0025374B">
        <w:t xml:space="preserve">pre-screen and refer qualified candidates to </w:t>
      </w:r>
      <w:r w:rsidR="00331499">
        <w:t xml:space="preserve">job postings listed by employers required to post </w:t>
      </w:r>
      <w:r w:rsidR="00402E12">
        <w:t>because they have federal contracts.</w:t>
      </w:r>
    </w:p>
    <w:p w:rsidR="00165BBF" w:rsidRDefault="00165BBF" w:rsidP="00165BBF">
      <w:pPr>
        <w:pStyle w:val="ListParagraph"/>
      </w:pPr>
    </w:p>
    <w:p w:rsidR="00165BBF" w:rsidRDefault="00165BBF" w:rsidP="006E318F">
      <w:pPr>
        <w:numPr>
          <w:ilvl w:val="0"/>
          <w:numId w:val="1"/>
        </w:numPr>
      </w:pPr>
      <w:r>
        <w:t xml:space="preserve">On-the-Job Training (OJT) staff work with area employers to develop on-the-job training plans for the </w:t>
      </w:r>
      <w:r w:rsidR="004C3CF1">
        <w:t>employer’s existing openings.  When the employer and staff agree on the plan,  a contract to reimburse</w:t>
      </w:r>
      <w:r w:rsidR="0005654F">
        <w:t xml:space="preserve"> the employer a portion of the trainees wage for a short time.  </w:t>
      </w:r>
      <w:r w:rsidR="004C3CF1">
        <w:t xml:space="preserve"> </w:t>
      </w:r>
    </w:p>
    <w:p w:rsidR="00165BBF" w:rsidRDefault="00165BBF" w:rsidP="00165BBF">
      <w:pPr>
        <w:pStyle w:val="ListParagraph"/>
      </w:pPr>
    </w:p>
    <w:p w:rsidR="00D63306" w:rsidRDefault="00D63306" w:rsidP="00D63306">
      <w:pPr>
        <w:pStyle w:val="ListParagraph"/>
        <w:numPr>
          <w:ilvl w:val="0"/>
          <w:numId w:val="3"/>
        </w:numPr>
      </w:pPr>
      <w:r>
        <w:t>Special Projects</w:t>
      </w:r>
    </w:p>
    <w:p w:rsidR="00F279CD" w:rsidRDefault="00F279CD" w:rsidP="00F279CD">
      <w:pPr>
        <w:ind w:left="720"/>
      </w:pPr>
    </w:p>
    <w:p w:rsidR="003F4E4E" w:rsidRDefault="003F4E4E" w:rsidP="00D63306">
      <w:pPr>
        <w:pStyle w:val="ListParagraph"/>
        <w:numPr>
          <w:ilvl w:val="1"/>
          <w:numId w:val="3"/>
        </w:numPr>
      </w:pPr>
      <w:r w:rsidRPr="006566F0">
        <w:rPr>
          <w:u w:val="single"/>
        </w:rPr>
        <w:t>University of Texas Medical Branch</w:t>
      </w:r>
      <w:r w:rsidRPr="006566F0">
        <w:t xml:space="preserve"> (UTMB)</w:t>
      </w:r>
      <w:r w:rsidR="00EC5997" w:rsidRPr="006566F0">
        <w:t xml:space="preserve"> – </w:t>
      </w:r>
      <w:r w:rsidR="006566F0" w:rsidRPr="006566F0">
        <w:t xml:space="preserve">Two </w:t>
      </w:r>
      <w:r w:rsidR="00EC5997" w:rsidRPr="006566F0">
        <w:t xml:space="preserve">staff members work on site at UTMB recruiting candidates for open positions. </w:t>
      </w:r>
      <w:r w:rsidR="006566F0" w:rsidRPr="006566F0">
        <w:t xml:space="preserve">One </w:t>
      </w:r>
      <w:r w:rsidR="00EC5997" w:rsidRPr="006566F0">
        <w:t>staff members work in the Texas City career office entering open pos</w:t>
      </w:r>
      <w:r w:rsidR="006566F0" w:rsidRPr="006566F0">
        <w:t>tings</w:t>
      </w:r>
      <w:r w:rsidR="00EC5997" w:rsidRPr="006566F0">
        <w:t xml:space="preserve"> into WorkInTexas. </w:t>
      </w:r>
      <w:r w:rsidRPr="006566F0">
        <w:t xml:space="preserve"> </w:t>
      </w:r>
      <w:r w:rsidR="00B149F4" w:rsidRPr="006566F0">
        <w:t xml:space="preserve">Note: </w:t>
      </w:r>
      <w:r w:rsidR="006566F0" w:rsidRPr="006566F0">
        <w:t xml:space="preserve">One </w:t>
      </w:r>
      <w:r w:rsidR="00B149F4" w:rsidRPr="006566F0">
        <w:t xml:space="preserve">UTMB Special Projects staff are paid by TWC. </w:t>
      </w:r>
    </w:p>
    <w:p w:rsidR="00D03F52" w:rsidRDefault="00D03F52" w:rsidP="00D03F52">
      <w:pPr>
        <w:pStyle w:val="ListParagraph"/>
        <w:ind w:left="1080"/>
      </w:pPr>
    </w:p>
    <w:p w:rsidR="00CD73F6" w:rsidRPr="00CD73F6" w:rsidRDefault="00CD73F6" w:rsidP="009E4DC9">
      <w:pPr>
        <w:pStyle w:val="ListParagraph"/>
        <w:numPr>
          <w:ilvl w:val="1"/>
          <w:numId w:val="3"/>
        </w:numPr>
        <w:tabs>
          <w:tab w:val="left" w:pos="360"/>
        </w:tabs>
        <w:jc w:val="both"/>
      </w:pPr>
      <w:r w:rsidRPr="00CD73F6">
        <w:rPr>
          <w:u w:val="single"/>
        </w:rPr>
        <w:t>Oil and Gas Initiative</w:t>
      </w:r>
      <w:r w:rsidRPr="006566F0">
        <w:t>–</w:t>
      </w:r>
      <w:r>
        <w:t xml:space="preserve"> Five staff members </w:t>
      </w:r>
      <w:r w:rsidRPr="00CD73F6">
        <w:rPr>
          <w:snapToGrid w:val="0"/>
        </w:rPr>
        <w:t xml:space="preserve">assist jobseekers </w:t>
      </w:r>
      <w:r w:rsidRPr="00CD73F6">
        <w:t xml:space="preserve">displaced from the oil and gas industry through a virtual office.  The services offered include resume critique, transitional occupation analysis, tools and seminars designed </w:t>
      </w:r>
      <w:r w:rsidRPr="00CD73F6">
        <w:lastRenderedPageBreak/>
        <w:t>to help with their search, as well as specialized training and OJT opportunities.</w:t>
      </w:r>
    </w:p>
    <w:p w:rsidR="00CD73F6" w:rsidRPr="00CD73F6" w:rsidRDefault="00CD73F6" w:rsidP="00CD73F6">
      <w:pPr>
        <w:jc w:val="both"/>
      </w:pPr>
    </w:p>
    <w:p w:rsidR="00CD73F6" w:rsidRPr="00CD73F6" w:rsidRDefault="00CD73F6" w:rsidP="00CD73F6">
      <w:pPr>
        <w:ind w:left="1080"/>
        <w:jc w:val="both"/>
        <w:rPr>
          <w:bCs/>
          <w:snapToGrid w:val="0"/>
        </w:rPr>
      </w:pPr>
      <w:r w:rsidRPr="00CD73F6">
        <w:t>Gulf Coast Workforce Solutions Employer Service will find employers in other industries that are looking for highly-trained individuals to meet their needs and match them with job-seekers from the state’s database, WorkinTexas.com.  In addition to having access to the largest database of job seekers, this initiative will also assist companies with recruitment, pre-screening applicants, hiring events and specialized training.</w:t>
      </w:r>
    </w:p>
    <w:p w:rsidR="0005654F" w:rsidRPr="006566F0" w:rsidRDefault="0005654F" w:rsidP="00CD73F6">
      <w:pPr>
        <w:pStyle w:val="ListParagraph"/>
        <w:ind w:left="1080"/>
      </w:pPr>
    </w:p>
    <w:p w:rsidR="000414E6" w:rsidRDefault="00774493" w:rsidP="000414E6">
      <w:pPr>
        <w:numPr>
          <w:ilvl w:val="0"/>
          <w:numId w:val="1"/>
        </w:numPr>
      </w:pPr>
      <w:r>
        <w:t xml:space="preserve">Business Services Representatives data enter job postings into WorkInTexas.com.  </w:t>
      </w:r>
      <w:bookmarkStart w:id="0" w:name="_GoBack"/>
      <w:bookmarkEnd w:id="0"/>
      <w:r w:rsidR="00DC0525">
        <w:t xml:space="preserve">All Business Service Representative are </w:t>
      </w:r>
      <w:r w:rsidR="003C4317">
        <w:t xml:space="preserve">paid by </w:t>
      </w:r>
      <w:r w:rsidR="00DC0525">
        <w:t>TWC.</w:t>
      </w:r>
    </w:p>
    <w:p w:rsidR="000414E6" w:rsidRDefault="000414E6" w:rsidP="000414E6">
      <w:pPr>
        <w:pStyle w:val="ListParagraph"/>
      </w:pPr>
    </w:p>
    <w:p w:rsidR="000414E6" w:rsidRDefault="000414E6" w:rsidP="000414E6"/>
    <w:p w:rsidR="00BD7B1F" w:rsidRDefault="00BD7B1F" w:rsidP="000414E6"/>
    <w:sectPr w:rsidR="00BD7B1F" w:rsidSect="006A5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800" w:bottom="1008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EF" w:rsidRDefault="008D44EF" w:rsidP="00774493">
      <w:r>
        <w:separator/>
      </w:r>
    </w:p>
  </w:endnote>
  <w:endnote w:type="continuationSeparator" w:id="0">
    <w:p w:rsidR="008D44EF" w:rsidRDefault="008D44EF" w:rsidP="0077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98" w:rsidRDefault="00300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06" w:rsidRPr="006A5D3C" w:rsidRDefault="00ED2406" w:rsidP="006A5D3C">
    <w:pPr>
      <w:rPr>
        <w:sz w:val="16"/>
        <w:szCs w:val="16"/>
      </w:rPr>
    </w:pPr>
    <w:r>
      <w:rPr>
        <w:sz w:val="16"/>
        <w:szCs w:val="16"/>
      </w:rPr>
      <w:t>IV</w:t>
    </w:r>
    <w:r w:rsidR="00300F98">
      <w:rPr>
        <w:sz w:val="16"/>
        <w:szCs w:val="16"/>
      </w:rPr>
      <w:t xml:space="preserve"> </w:t>
    </w:r>
    <w:r>
      <w:rPr>
        <w:sz w:val="16"/>
        <w:szCs w:val="16"/>
      </w:rPr>
      <w:t>2</w:t>
    </w:r>
    <w:r w:rsidR="00300F98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6A5D3C">
      <w:rPr>
        <w:sz w:val="16"/>
        <w:szCs w:val="16"/>
      </w:rPr>
      <w:t>Employer Service Staff</w:t>
    </w:r>
    <w:r w:rsidR="00D33568">
      <w:rPr>
        <w:sz w:val="16"/>
        <w:szCs w:val="16"/>
      </w:rPr>
      <w:t xml:space="preserve">,  Job Duties and Salaries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98" w:rsidRDefault="00300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EF" w:rsidRDefault="008D44EF" w:rsidP="00774493">
      <w:r>
        <w:separator/>
      </w:r>
    </w:p>
  </w:footnote>
  <w:footnote w:type="continuationSeparator" w:id="0">
    <w:p w:rsidR="008D44EF" w:rsidRDefault="008D44EF" w:rsidP="0077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98" w:rsidRDefault="00300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06" w:rsidRDefault="00ED2406" w:rsidP="00512A27">
    <w:pPr>
      <w:jc w:val="center"/>
      <w:rPr>
        <w:sz w:val="28"/>
        <w:szCs w:val="28"/>
      </w:rPr>
    </w:pPr>
    <w:r>
      <w:rPr>
        <w:sz w:val="28"/>
        <w:szCs w:val="28"/>
      </w:rPr>
      <w:t>Employer Service Staff</w:t>
    </w:r>
    <w:r w:rsidR="00512A27">
      <w:rPr>
        <w:sz w:val="28"/>
        <w:szCs w:val="28"/>
      </w:rPr>
      <w:t>,</w:t>
    </w:r>
    <w:r w:rsidRPr="00B132ED">
      <w:rPr>
        <w:sz w:val="28"/>
        <w:szCs w:val="28"/>
      </w:rPr>
      <w:t xml:space="preserve"> </w:t>
    </w:r>
    <w:r w:rsidR="00D33568">
      <w:rPr>
        <w:sz w:val="28"/>
        <w:szCs w:val="28"/>
      </w:rPr>
      <w:t>Job Duties and Salaries</w:t>
    </w:r>
  </w:p>
  <w:p w:rsidR="00512A27" w:rsidRDefault="00512A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98" w:rsidRDefault="00300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4BE"/>
    <w:multiLevelType w:val="hybridMultilevel"/>
    <w:tmpl w:val="13A64F02"/>
    <w:lvl w:ilvl="0" w:tplc="B686A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80328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5A25304">
      <w:start w:val="6"/>
      <w:numFmt w:val="upperRoman"/>
      <w:lvlText w:val="%3."/>
      <w:lvlJc w:val="left"/>
      <w:pPr>
        <w:tabs>
          <w:tab w:val="num" w:pos="360"/>
        </w:tabs>
        <w:ind w:left="360" w:hanging="792"/>
      </w:pPr>
      <w:rPr>
        <w:rFonts w:hint="default"/>
        <w:b/>
        <w:i w:val="0"/>
        <w:spacing w:val="0"/>
        <w:kern w:val="0"/>
        <w:position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2313D"/>
    <w:multiLevelType w:val="hybridMultilevel"/>
    <w:tmpl w:val="377C18C0"/>
    <w:lvl w:ilvl="0" w:tplc="E6CA6F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CA6F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D810C39"/>
    <w:multiLevelType w:val="hybridMultilevel"/>
    <w:tmpl w:val="75281B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2ED"/>
    <w:rsid w:val="00006C94"/>
    <w:rsid w:val="000414E6"/>
    <w:rsid w:val="0005654F"/>
    <w:rsid w:val="0009079E"/>
    <w:rsid w:val="0011782F"/>
    <w:rsid w:val="00123547"/>
    <w:rsid w:val="00165BBF"/>
    <w:rsid w:val="0017105B"/>
    <w:rsid w:val="001900FE"/>
    <w:rsid w:val="001A31EB"/>
    <w:rsid w:val="002369D7"/>
    <w:rsid w:val="00241321"/>
    <w:rsid w:val="00252E14"/>
    <w:rsid w:val="0025374B"/>
    <w:rsid w:val="00300F98"/>
    <w:rsid w:val="00331499"/>
    <w:rsid w:val="00385119"/>
    <w:rsid w:val="00392455"/>
    <w:rsid w:val="003B55D8"/>
    <w:rsid w:val="003C4317"/>
    <w:rsid w:val="003D4A9D"/>
    <w:rsid w:val="003F4E4E"/>
    <w:rsid w:val="00402E12"/>
    <w:rsid w:val="00405BB7"/>
    <w:rsid w:val="0042681B"/>
    <w:rsid w:val="0043011E"/>
    <w:rsid w:val="00497210"/>
    <w:rsid w:val="004A3185"/>
    <w:rsid w:val="004B7069"/>
    <w:rsid w:val="004B789C"/>
    <w:rsid w:val="004C3CF1"/>
    <w:rsid w:val="004C6101"/>
    <w:rsid w:val="004E3057"/>
    <w:rsid w:val="00512A27"/>
    <w:rsid w:val="005326BE"/>
    <w:rsid w:val="00546DB8"/>
    <w:rsid w:val="00560AF4"/>
    <w:rsid w:val="00562D01"/>
    <w:rsid w:val="005A1EAF"/>
    <w:rsid w:val="006436BE"/>
    <w:rsid w:val="006566F0"/>
    <w:rsid w:val="00660D9B"/>
    <w:rsid w:val="006A3255"/>
    <w:rsid w:val="006A5D3C"/>
    <w:rsid w:val="006C5FE2"/>
    <w:rsid w:val="006D1D39"/>
    <w:rsid w:val="006E37E7"/>
    <w:rsid w:val="006E6D98"/>
    <w:rsid w:val="0070141A"/>
    <w:rsid w:val="00707242"/>
    <w:rsid w:val="00746BEF"/>
    <w:rsid w:val="007518AA"/>
    <w:rsid w:val="00774493"/>
    <w:rsid w:val="00795630"/>
    <w:rsid w:val="007A7189"/>
    <w:rsid w:val="007B5226"/>
    <w:rsid w:val="007C2824"/>
    <w:rsid w:val="007C36F4"/>
    <w:rsid w:val="007D4ECD"/>
    <w:rsid w:val="007E4AD5"/>
    <w:rsid w:val="00897FBD"/>
    <w:rsid w:val="008A2E74"/>
    <w:rsid w:val="008D44EF"/>
    <w:rsid w:val="008E6770"/>
    <w:rsid w:val="0090646A"/>
    <w:rsid w:val="00926A8F"/>
    <w:rsid w:val="00993EC9"/>
    <w:rsid w:val="009E4B66"/>
    <w:rsid w:val="00A43374"/>
    <w:rsid w:val="00A62C41"/>
    <w:rsid w:val="00A81222"/>
    <w:rsid w:val="00A8515A"/>
    <w:rsid w:val="00AD3E94"/>
    <w:rsid w:val="00AF680C"/>
    <w:rsid w:val="00B132ED"/>
    <w:rsid w:val="00B149F4"/>
    <w:rsid w:val="00B369C3"/>
    <w:rsid w:val="00B608CE"/>
    <w:rsid w:val="00BB1433"/>
    <w:rsid w:val="00BD7B1F"/>
    <w:rsid w:val="00BF406D"/>
    <w:rsid w:val="00C40939"/>
    <w:rsid w:val="00C51129"/>
    <w:rsid w:val="00C54061"/>
    <w:rsid w:val="00C71D55"/>
    <w:rsid w:val="00C92318"/>
    <w:rsid w:val="00CB2E0C"/>
    <w:rsid w:val="00CB71C2"/>
    <w:rsid w:val="00CD49EA"/>
    <w:rsid w:val="00CD73F6"/>
    <w:rsid w:val="00CF0710"/>
    <w:rsid w:val="00D03F52"/>
    <w:rsid w:val="00D33568"/>
    <w:rsid w:val="00D473EF"/>
    <w:rsid w:val="00D63306"/>
    <w:rsid w:val="00D63564"/>
    <w:rsid w:val="00DC0525"/>
    <w:rsid w:val="00DD2AF1"/>
    <w:rsid w:val="00E17D78"/>
    <w:rsid w:val="00E37F9A"/>
    <w:rsid w:val="00E74033"/>
    <w:rsid w:val="00EA062A"/>
    <w:rsid w:val="00EC5997"/>
    <w:rsid w:val="00ED2406"/>
    <w:rsid w:val="00ED4F77"/>
    <w:rsid w:val="00F13AF4"/>
    <w:rsid w:val="00F23912"/>
    <w:rsid w:val="00F279CD"/>
    <w:rsid w:val="00F351D0"/>
    <w:rsid w:val="00F533CA"/>
    <w:rsid w:val="00F730B3"/>
    <w:rsid w:val="00F8722E"/>
    <w:rsid w:val="00F93909"/>
    <w:rsid w:val="00FB3FEB"/>
    <w:rsid w:val="00FE394D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46979A-2DBD-4AD7-953D-3870B4E6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4E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D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F406D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Staffing Specialist Office Locations, Salary, and Average Workload</vt:lpstr>
    </vt:vector>
  </TitlesOfParts>
  <Company>Houston-Galveston Area Council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Specialist Office Locations, Salary, and Average Workload</dc:title>
  <dc:subject/>
  <dc:creator>drake</dc:creator>
  <cp:keywords/>
  <dc:description/>
  <cp:lastModifiedBy>Baggerly, David</cp:lastModifiedBy>
  <cp:revision>52</cp:revision>
  <cp:lastPrinted>2017-02-09T14:56:00Z</cp:lastPrinted>
  <dcterms:created xsi:type="dcterms:W3CDTF">2013-04-08T19:37:00Z</dcterms:created>
  <dcterms:modified xsi:type="dcterms:W3CDTF">2017-03-06T19:40:00Z</dcterms:modified>
</cp:coreProperties>
</file>